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SET-01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RFP / RFI template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Getting every vendor to answer the same questions in the same format is the basis of a fair comparison. Fill this template in for your operation; for an RFI, sections 1–4, 11 and 12 are usually enough.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How to use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Fill in the bracketed fields and delete rows that do not apply to your operation.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Give each requirement a priority: </w:t>
      </w:r>
      <w:r>
        <w:rPr>
          <w:rFonts w:ascii="Calibri" w:cs="Calibri" w:eastAsia="Calibri" w:hAnsi="Calibri"/>
          <w:b/>
          <w:bCs/>
        </w:rPr>
        <w:t xml:space="preserve">M</w:t>
      </w:r>
      <w:r>
        <w:rPr>
          <w:rFonts w:ascii="Calibri" w:cs="Calibri" w:eastAsia="Calibri" w:hAnsi="Calibri"/>
        </w:rPr>
        <w:t xml:space="preserve">ust, </w:t>
      </w:r>
      <w:r>
        <w:rPr>
          <w:rFonts w:ascii="Calibri" w:cs="Calibri" w:eastAsia="Calibri" w:hAnsi="Calibri"/>
          <w:b/>
          <w:bCs/>
        </w:rPr>
        <w:t xml:space="preserve">I</w:t>
      </w:r>
      <w:r>
        <w:rPr>
          <w:rFonts w:ascii="Calibri" w:cs="Calibri" w:eastAsia="Calibri" w:hAnsi="Calibri"/>
        </w:rPr>
        <w:t xml:space="preserve">mportant, </w:t>
      </w:r>
      <w:r>
        <w:rPr>
          <w:rFonts w:ascii="Calibri" w:cs="Calibri" w:eastAsia="Calibri" w:hAnsi="Calibri"/>
          <w:b/>
          <w:bCs/>
        </w:rPr>
        <w:t xml:space="preserve">O</w:t>
      </w:r>
      <w:r>
        <w:rPr>
          <w:rFonts w:ascii="Calibri" w:cs="Calibri" w:eastAsia="Calibri" w:hAnsi="Calibri"/>
        </w:rPr>
        <w:t xml:space="preserve">ptional. Keep the number of musts to what is truly essential.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Ask vendors to answer each line as Standard / Configuration / Development / Not available. “Development” answers must be priced separately.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You can download the requirements matrix as a CSV file to fill in with Excel.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1. Company and project summary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Company name and sector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owner and contact person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goal (why now?)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Warehouses / sites in scope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Target go-live date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Budget range (optional)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2. Scope and objectives</w:t>
      </w:r>
    </w:p>
    <w:p>
      <w:pPr>
        <w:spacing w:after="120"/>
      </w:pPr>
      <w:r>
        <w:rPr>
          <w:rFonts w:ascii="Calibri" w:cs="Calibri" w:eastAsia="Calibri" w:hAnsi="Calibri"/>
        </w:rPr>
        <w:t xml:space="preserve">Write measurable objectives and ask vendors to explain how they will help achieve them.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928"/>
        <w:gridCol w:w="1928"/>
        <w:gridCol w:w="2505"/>
      </w:tblGrid>
      <w:tr>
        <w:trPr>
          <w:tblHeader/>
        </w:trP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Objective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Current value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Target value</w:t>
            </w:r>
          </w:p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How it will be measured</w:t>
            </w:r>
          </w:p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accuracy (by location)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Order picking accuracy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Lines picked per picker hour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Dock-to-stock time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Same-day shipment rate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3. Current state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Number of warehouses, total area (m²) and height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Storage types (racking, block stacking, narrow aisle, cold room…)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Active SKUs; share of SKUs needing lot / expiry / serial tracking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Average and peak orders / lines per day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Daily receiving (vehicles / notes) and shipping volume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Shift pattern and warehouse headcount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 in use, version and hosting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Current warehouse system (if any) and known issues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Existing hardware (handhelds, printers, Wi-Fi, automation)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4. Functional requirements</w:t>
      </w:r>
    </w:p>
    <w:p>
      <w:pPr>
        <w:spacing w:after="120"/>
      </w:pPr>
      <w:r>
        <w:rPr>
          <w:rFonts w:ascii="Calibri" w:cs="Calibri" w:eastAsia="Calibri" w:hAnsi="Calibri"/>
        </w:rPr>
        <w:t xml:space="preserve">Enter M / I / O in the priority column. The vendor answers Standard / Configuration / Development / Not available and adds evidence (screenshots, documents) where needed.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0"/>
        <w:gridCol w:w="5686"/>
        <w:gridCol w:w="1253"/>
        <w:gridCol w:w="1639"/>
      </w:tblGrid>
      <w:tr>
        <w:trPr>
          <w:tblHeader/>
        </w:trP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ID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Priority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Response</w:t>
            </w:r>
          </w:p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Expected receipts against ERP purchase orders / ASNs with discrepancy reporting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Capture of lot, expiry and serial numbers at receipt, read from barcodes (GS1)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Quality control / quarantine status and release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Putaway: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Rule-based location suggestions (item class, size, weight, ABC, zone)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Putaway: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Automatic replenishment (min/max, demand-driven)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and locations: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Real-time stock by location, pallet and case; stock statuses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and locations: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Cycle counts, full counts, variance approval and audit trail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and locations: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FEFO / FIFO and lot-based allocation rules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Picking: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Single-order, batch, wave and zone picking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Picking: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Pick-path optimisation and workload balancing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Picking: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Order priority, cut-off times and partial shipment rules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 and shipping: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Pack-station verification, carton contents and weight checks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 and shipping: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Carrier integration, labels and tracking numbers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 and shipping: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Dock / loading plan, delivery notes and e-waybill flow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Returns: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Returns receipt, condition grading and restocking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Traceability: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Forward and backward traceability by lot / serial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Traceability: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ITS / ÜTS reporting and data-matrix aggregation (if applicable)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Multi-client stock and rule separation, client portal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Activity-based billing (storage, handling, value-added services)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Labour: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Task management, user performance and engineered standards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Mobile: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Handheld app (Android) and behaviour when offline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Automation: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Integration with conveyor, sorter, AS/RS or robot control systems (WCS)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Reporting: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Standard KPI reports, user-defined reports and data export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ADM-01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Administration: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Role-based access control and user activity logs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5. Integration requirements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1928"/>
        <w:gridCol w:w="2120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System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Data exchanged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Direction and frequency</w:t>
            </w:r>
          </w:p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Method (API, file, middleware)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Item master, orders, stock movements, delivery notes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E-commerce / marketplaces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Orders, stock updates, returns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Carriers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Shipment creation, labels, tracking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e-Invoice / e-Waybill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Delivery note and invoice documents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Automation (WCS / PLC)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Task orders and confirmations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Who builds the integration and who maintains it? Is development on the ERP side included in the quote?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How are failed messages monitored and resent?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Is API documentation public or can it be shared during the bid?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6. Technical infrastructure, security and KVKK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Hosting options (cloud, on-premise, hybrid) and data centre location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Backup frequency, retention and disaster recovery targets (RPO / RTO)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Information security certifications (e.g. ISO 27001) and independent audits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Authentication (SSO, multi-factor) and access model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Role under KVKK (data processor), sub-processors and any cross-border transfer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Release and upgrade policy and its impact on the customer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7. Implementation approach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Project methodology, phases and the deliverables of each phase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Vendor team: roles, experience and who will work on site in Turkey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Customer team and time commitment expected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Data migration, testing and training approach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Estimated duration and critical dependencies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8. Support and service levels (SLA)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6"/>
        <w:gridCol w:w="3952"/>
        <w:gridCol w:w="1928"/>
        <w:gridCol w:w="2312"/>
      </w:tblGrid>
      <w:tr>
        <w:trPr>
          <w:tblHeader/>
        </w:trP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Priority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Definition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First response time</w:t>
            </w:r>
          </w:p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Resolution / workaround time</w:t>
            </w:r>
          </w:p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Critical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Shipping or receiving has stopped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High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 key process is running with restrictions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Normal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Single user or issue with a workaround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Also ask for support hours (24/7 or business hours), support in Turkish, support channels and the availability commitment (for cloud).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9. Commercial proposal format</w:t>
      </w:r>
    </w:p>
    <w:p>
      <w:pPr>
        <w:spacing w:after="120"/>
      </w:pPr>
      <w:r>
        <w:rPr>
          <w:rFonts w:ascii="Calibri" w:cs="Calibri" w:eastAsia="Calibri" w:hAnsi="Calibri"/>
        </w:rPr>
        <w:t xml:space="preserve">Ask every vendor to fill in the same table, excluding VAT and in a single currency.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1253"/>
        <w:gridCol w:w="1253"/>
        <w:gridCol w:w="1253"/>
        <w:gridCol w:w="1253"/>
        <w:gridCol w:w="1253"/>
      </w:tblGrid>
      <w:tr>
        <w:trPr>
          <w:tblHeader/>
        </w:trP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1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2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3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4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5</w:t>
            </w:r>
          </w:p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Licence / subscription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Maintenance and support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and consulting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Integration development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Development (“Development” lines in the matrix)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Hosting / infrastructure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Training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Total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What is the licence unit (named user, concurrent user, site, transaction volume)? What happens on overage?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How are annual price increases set and are they capped?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Is the payment plan tied to project milestones?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You can use the ROI / TCO calculator to compare the proposals.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10. References</w:t>
      </w:r>
    </w:p>
    <w:p>
      <w:pPr>
        <w:spacing w:after="120"/>
      </w:pPr>
      <w:r>
        <w:rPr>
          <w:rFonts w:ascii="Calibri" w:cs="Calibri" w:eastAsia="Calibri" w:hAnsi="Calibri"/>
        </w:rPr>
        <w:t xml:space="preserve">Ask for at least three references of similar size and sector that went live in the last three years, and meet at least one on site. Use the SET-03 question list for the calls.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11. Evaluation criteria</w:t>
      </w:r>
    </w:p>
    <w:p>
      <w:pPr>
        <w:spacing w:after="120"/>
      </w:pPr>
      <w:r>
        <w:rPr>
          <w:rFonts w:ascii="Calibri" w:cs="Calibri" w:eastAsia="Calibri" w:hAnsi="Calibri"/>
        </w:rPr>
        <w:t xml:space="preserve">Set the weights before opening the proposals and do not change them. The weights below are examples only.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1735"/>
        <w:gridCol w:w="4433"/>
      </w:tblGrid>
      <w:tr>
        <w:trPr>
          <w:tblHeader/>
        </w:trP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Criterion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Example weight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How it is scored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Functional fit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Requirements matrix + demo score (SET-02)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Integration and technical fit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Integration plan, architecture, security answers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team and approach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plan, team experience, references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5-year total cost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Commercial table and TCO calculation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 viability and support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Financial standing, support in Turkey, roadmap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12. Timeline and response rules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3855"/>
      </w:tblGrid>
      <w:tr>
        <w:trPr>
          <w:tblHeader/>
        </w:trP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Step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RFP issued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Deadline for questions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Deadline for responses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Scripted demos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Reference calls and site visit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Decision and contract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Questions are submitted in writing to a single contact; answers are shared with all vendors.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Responses follow the order of this template, with the requirements matrix in Excel format.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Proposals must remain valid for at least 90 days.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Confidentiality: this document and its attachments may only be used to prepare a proposal.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RFP / RFI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RFP / RFI template</dc:title>
  <dc:creator>WMSTurkiye.com</dc:creator>
  <dc:description>An editable template for the WMS request for proposal (RFP) and request for information (RFI) you send to vendors: current state, requirements matrix, integration, security, commercial format and evaluation criteria.</dc:description>
  <cp:lastModifiedBy>Un-named</cp:lastModifiedBy>
  <cp:revision>1</cp:revision>
  <dcterms:created xsi:type="dcterms:W3CDTF">2026-10-07T13:00:15.891Z</dcterms:created>
  <dcterms:modified xsi:type="dcterms:W3CDTF">2026-10-07T13:00:15.891Z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